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36" w:rsidRDefault="0018534F">
      <w:pPr>
        <w:spacing w:after="150"/>
      </w:pPr>
      <w:r>
        <w:rPr>
          <w:color w:val="000000"/>
        </w:rPr>
        <w:t>На основу члана 69. став 7. Закона о основном образовању и васпитању („Службени гласник РС”, бр. 55/13, 101/17 и 27/18 – др. закон),</w:t>
      </w:r>
    </w:p>
    <w:p w:rsidR="00521B36" w:rsidRDefault="0018534F">
      <w:pPr>
        <w:spacing w:after="150"/>
      </w:pPr>
      <w:r>
        <w:rPr>
          <w:color w:val="000000"/>
        </w:rPr>
        <w:t xml:space="preserve">Министар </w:t>
      </w:r>
      <w:r>
        <w:rPr>
          <w:color w:val="000000"/>
        </w:rPr>
        <w:t>просвете, науке и технолошког развоја и министар здравља споразумно доносе</w:t>
      </w:r>
    </w:p>
    <w:p w:rsidR="00521B36" w:rsidRDefault="0018534F">
      <w:pPr>
        <w:spacing w:after="225"/>
        <w:jc w:val="center"/>
      </w:pPr>
      <w:r>
        <w:rPr>
          <w:b/>
          <w:color w:val="000000"/>
        </w:rPr>
        <w:t>ПРАВИЛНИК</w:t>
      </w:r>
    </w:p>
    <w:p w:rsidR="00521B36" w:rsidRDefault="0018534F">
      <w:pPr>
        <w:spacing w:after="225"/>
        <w:jc w:val="center"/>
      </w:pPr>
      <w:r>
        <w:rPr>
          <w:b/>
          <w:color w:val="000000"/>
        </w:rPr>
        <w:t>о ближим условима за организовање, остваривање и праћење исхране ученика у основној школи</w:t>
      </w:r>
    </w:p>
    <w:p w:rsidR="00521B36" w:rsidRDefault="0018534F">
      <w:pPr>
        <w:spacing w:after="120"/>
        <w:jc w:val="center"/>
      </w:pPr>
      <w:r>
        <w:rPr>
          <w:color w:val="000000"/>
        </w:rPr>
        <w:t>"Службени гласник РС", број 68 од 7. септембра 2018.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1.</w:t>
      </w:r>
    </w:p>
    <w:p w:rsidR="00521B36" w:rsidRDefault="0018534F">
      <w:pPr>
        <w:spacing w:after="150"/>
      </w:pPr>
      <w:r>
        <w:rPr>
          <w:color w:val="000000"/>
        </w:rPr>
        <w:t>Овим правилником утв</w:t>
      </w:r>
      <w:r>
        <w:rPr>
          <w:color w:val="000000"/>
        </w:rPr>
        <w:t>рђују се ближи услови за организовање, остваривање и праћење исхране ученика у основној школи (у даљем тексту: школа).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2.</w:t>
      </w:r>
    </w:p>
    <w:p w:rsidR="00521B36" w:rsidRDefault="0018534F">
      <w:pPr>
        <w:spacing w:after="150"/>
      </w:pPr>
      <w:r>
        <w:rPr>
          <w:color w:val="000000"/>
        </w:rPr>
        <w:t>Исхрану ученика у основној школи организује директор школе у сарадњи са Саветом родитеља.</w:t>
      </w:r>
    </w:p>
    <w:p w:rsidR="00521B36" w:rsidRDefault="0018534F">
      <w:pPr>
        <w:spacing w:after="150"/>
      </w:pPr>
      <w:r>
        <w:rPr>
          <w:color w:val="000000"/>
        </w:rPr>
        <w:t>За остваривање исхране ученика у школи,</w:t>
      </w:r>
      <w:r>
        <w:rPr>
          <w:color w:val="000000"/>
        </w:rPr>
        <w:t xml:space="preserve"> у складу са утврђеним начином организовања, одговорне су стручне службе школе и запослени на пословима припремања и сервирања хране.</w:t>
      </w:r>
    </w:p>
    <w:p w:rsidR="00521B36" w:rsidRDefault="0018534F">
      <w:pPr>
        <w:spacing w:after="150"/>
      </w:pPr>
      <w:r>
        <w:rPr>
          <w:color w:val="000000"/>
        </w:rPr>
        <w:t>Послове праћења исхране ученика у школи школа обезбеђује закључивањем уговора са надлежним заводом/институтом за јавно здр</w:t>
      </w:r>
      <w:r>
        <w:rPr>
          <w:color w:val="000000"/>
        </w:rPr>
        <w:t>авље.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3.</w:t>
      </w:r>
    </w:p>
    <w:p w:rsidR="00521B36" w:rsidRDefault="0018534F">
      <w:pPr>
        <w:spacing w:after="150"/>
      </w:pPr>
      <w:r>
        <w:rPr>
          <w:color w:val="000000"/>
        </w:rPr>
        <w:t>Школа може да организује исхрану ученика на више начина и то:</w:t>
      </w:r>
    </w:p>
    <w:p w:rsidR="00521B36" w:rsidRDefault="0018534F">
      <w:pPr>
        <w:spacing w:after="150"/>
      </w:pPr>
      <w:r>
        <w:rPr>
          <w:color w:val="000000"/>
        </w:rPr>
        <w:t>1) припремањем оброка у сопственој кухињи;</w:t>
      </w:r>
    </w:p>
    <w:p w:rsidR="00521B36" w:rsidRDefault="0018534F">
      <w:pPr>
        <w:spacing w:after="150"/>
      </w:pPr>
      <w:r>
        <w:rPr>
          <w:color w:val="000000"/>
        </w:rPr>
        <w:t>2) у сарадњи са другим установама образовања и васпитања које имају организовану исхрану ученика припремањем оброка у сопственој кухињи;</w:t>
      </w:r>
    </w:p>
    <w:p w:rsidR="00521B36" w:rsidRDefault="0018534F">
      <w:pPr>
        <w:spacing w:after="150"/>
      </w:pPr>
      <w:r>
        <w:rPr>
          <w:color w:val="000000"/>
        </w:rPr>
        <w:t>3) коришћењем услуга понуђача који се баве производњом и дистрибуцијом оброка.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4.</w:t>
      </w:r>
    </w:p>
    <w:p w:rsidR="00521B36" w:rsidRDefault="0018534F">
      <w:pPr>
        <w:spacing w:after="150"/>
      </w:pPr>
      <w:r>
        <w:rPr>
          <w:color w:val="000000"/>
        </w:rPr>
        <w:t>Школа је у обавези да у поступку организовања исхране ученика обезбеди све санитарно хигијенске и друге услове у складу са законом којим се уређују поступци припремања и</w:t>
      </w:r>
      <w:r>
        <w:rPr>
          <w:color w:val="000000"/>
        </w:rPr>
        <w:t xml:space="preserve"> дистрибуције хране.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5.</w:t>
      </w:r>
    </w:p>
    <w:p w:rsidR="00521B36" w:rsidRDefault="0018534F">
      <w:pPr>
        <w:spacing w:after="150"/>
      </w:pPr>
      <w:r>
        <w:rPr>
          <w:color w:val="000000"/>
        </w:rPr>
        <w:t>Приликом планирања исхране ученика школа узима у обзир:</w:t>
      </w:r>
    </w:p>
    <w:p w:rsidR="00521B36" w:rsidRDefault="0018534F">
      <w:pPr>
        <w:spacing w:after="150"/>
      </w:pPr>
      <w:r>
        <w:rPr>
          <w:color w:val="000000"/>
        </w:rPr>
        <w:t>– узраст ученика;</w:t>
      </w:r>
    </w:p>
    <w:p w:rsidR="00521B36" w:rsidRDefault="0018534F">
      <w:pPr>
        <w:spacing w:after="150"/>
      </w:pPr>
      <w:r>
        <w:rPr>
          <w:color w:val="000000"/>
        </w:rPr>
        <w:t>– број ученика одређене узрасне групе;</w:t>
      </w:r>
    </w:p>
    <w:p w:rsidR="00521B36" w:rsidRDefault="0018534F">
      <w:pPr>
        <w:spacing w:after="150"/>
      </w:pPr>
      <w:r>
        <w:rPr>
          <w:color w:val="000000"/>
        </w:rPr>
        <w:lastRenderedPageBreak/>
        <w:t>– дужину времена које ученик проведе у школи и режим наставе;</w:t>
      </w:r>
    </w:p>
    <w:p w:rsidR="00521B36" w:rsidRDefault="0018534F">
      <w:pPr>
        <w:spacing w:after="150"/>
      </w:pPr>
      <w:r>
        <w:rPr>
          <w:color w:val="000000"/>
        </w:rPr>
        <w:t>– енергетске потребе ученика;</w:t>
      </w:r>
    </w:p>
    <w:p w:rsidR="00521B36" w:rsidRDefault="0018534F">
      <w:pPr>
        <w:spacing w:after="150"/>
      </w:pPr>
      <w:r>
        <w:rPr>
          <w:color w:val="000000"/>
        </w:rPr>
        <w:t>– нутритивне и посебне</w:t>
      </w:r>
      <w:r>
        <w:rPr>
          <w:color w:val="000000"/>
        </w:rPr>
        <w:t xml:space="preserve"> нутритивне потребе ученика.</w:t>
      </w:r>
    </w:p>
    <w:p w:rsidR="00521B36" w:rsidRDefault="0018534F">
      <w:pPr>
        <w:spacing w:after="150"/>
      </w:pPr>
      <w:r>
        <w:rPr>
          <w:color w:val="000000"/>
        </w:rPr>
        <w:t>Планирање исхране ученика врши се у складу са нормативом исхране ученика у школи, који је одштампан уз овај правилник и чини њен саставни део.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6.</w:t>
      </w:r>
    </w:p>
    <w:p w:rsidR="00521B36" w:rsidRDefault="0018534F">
      <w:pPr>
        <w:spacing w:after="150"/>
      </w:pPr>
      <w:r>
        <w:rPr>
          <w:color w:val="000000"/>
        </w:rPr>
        <w:t xml:space="preserve">Структура дневне исхране ученика треба да обезбеди одговарајуће задовољење </w:t>
      </w:r>
      <w:r>
        <w:rPr>
          <w:color w:val="000000"/>
        </w:rPr>
        <w:t>енергетских и нутритивних потреба, кроз:</w:t>
      </w:r>
    </w:p>
    <w:p w:rsidR="00521B36" w:rsidRDefault="0018534F">
      <w:pPr>
        <w:spacing w:after="150"/>
      </w:pPr>
      <w:r>
        <w:rPr>
          <w:color w:val="000000"/>
        </w:rPr>
        <w:t>1) заступљеност свих група намирница, са одређеним уделом у односу на укупни дневни енергетски унос;</w:t>
      </w:r>
    </w:p>
    <w:p w:rsidR="00521B36" w:rsidRDefault="0018534F">
      <w:pPr>
        <w:spacing w:after="150"/>
      </w:pPr>
      <w:r>
        <w:rPr>
          <w:color w:val="000000"/>
        </w:rPr>
        <w:t>2) заступљеност свих хранљивих материја (макронутријената) у одређеном процентуалном односу;</w:t>
      </w:r>
    </w:p>
    <w:p w:rsidR="00521B36" w:rsidRDefault="0018534F">
      <w:pPr>
        <w:spacing w:after="150"/>
      </w:pPr>
      <w:r>
        <w:rPr>
          <w:color w:val="000000"/>
        </w:rPr>
        <w:t>3) заступљеност минер</w:t>
      </w:r>
      <w:r>
        <w:rPr>
          <w:color w:val="000000"/>
        </w:rPr>
        <w:t>ала и витамина (микронутријената) у препорученој количини/вредности;</w:t>
      </w:r>
    </w:p>
    <w:p w:rsidR="00521B36" w:rsidRDefault="0018534F">
      <w:pPr>
        <w:spacing w:after="150"/>
      </w:pPr>
      <w:r>
        <w:rPr>
          <w:color w:val="000000"/>
        </w:rPr>
        <w:t>4) расподелу укупне енергије у kcal, односно kJ, подељене на одговарајући број дневних оброка у одређеном процентуалном односу.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7.</w:t>
      </w:r>
    </w:p>
    <w:p w:rsidR="00521B36" w:rsidRDefault="0018534F">
      <w:pPr>
        <w:spacing w:after="150"/>
      </w:pPr>
      <w:r>
        <w:rPr>
          <w:color w:val="000000"/>
        </w:rPr>
        <w:t xml:space="preserve">Школа у складу са својим могућностима организује и </w:t>
      </w:r>
      <w:r>
        <w:rPr>
          <w:color w:val="000000"/>
        </w:rPr>
        <w:t>исхрану ученика са посебним нутритивним потребама, на основу извештаја доктора медицине специјалисте одређене гране медицине који садржи податке о препорученим, односно намирницама које је потребно искључити из исхране.</w:t>
      </w:r>
    </w:p>
    <w:p w:rsidR="00521B36" w:rsidRDefault="0018534F">
      <w:pPr>
        <w:spacing w:after="150"/>
      </w:pPr>
      <w:r>
        <w:rPr>
          <w:color w:val="000000"/>
        </w:rPr>
        <w:t>Родитељ, односно, други законски зас</w:t>
      </w:r>
      <w:r>
        <w:rPr>
          <w:color w:val="000000"/>
        </w:rPr>
        <w:t>тупник, дужан је да школи достави јеловник који је израдио дијететичар нутрициониста.</w:t>
      </w:r>
    </w:p>
    <w:p w:rsidR="00521B36" w:rsidRDefault="0018534F">
      <w:pPr>
        <w:spacing w:after="150"/>
      </w:pPr>
      <w:r>
        <w:rPr>
          <w:color w:val="000000"/>
        </w:rPr>
        <w:t>Посебне нутритивне потребе односе се на:</w:t>
      </w:r>
    </w:p>
    <w:p w:rsidR="00521B36" w:rsidRDefault="0018534F">
      <w:pPr>
        <w:spacing w:after="150"/>
      </w:pPr>
      <w:r>
        <w:rPr>
          <w:color w:val="000000"/>
        </w:rPr>
        <w:t>1) интолеранцију и алергију на одређене врсте намирница;</w:t>
      </w:r>
    </w:p>
    <w:p w:rsidR="00521B36" w:rsidRDefault="0018534F">
      <w:pPr>
        <w:spacing w:after="150"/>
      </w:pPr>
      <w:r>
        <w:rPr>
          <w:color w:val="000000"/>
        </w:rPr>
        <w:t>2) глутенска ентеропатија (целијакија);</w:t>
      </w:r>
    </w:p>
    <w:p w:rsidR="00521B36" w:rsidRDefault="0018534F">
      <w:pPr>
        <w:spacing w:after="150"/>
      </w:pPr>
      <w:r>
        <w:rPr>
          <w:color w:val="000000"/>
        </w:rPr>
        <w:t xml:space="preserve">3) болести и стања која </w:t>
      </w:r>
      <w:r>
        <w:rPr>
          <w:color w:val="000000"/>
        </w:rPr>
        <w:t>захтевају посебан хигијенско-дијететски режим: гојазност, шећерна болест, хронична бубрежна болест, дислипидемија, метаболички синдром и сл.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8.</w:t>
      </w:r>
    </w:p>
    <w:p w:rsidR="00521B36" w:rsidRDefault="0018534F">
      <w:pPr>
        <w:spacing w:after="150"/>
      </w:pPr>
      <w:r>
        <w:rPr>
          <w:color w:val="000000"/>
        </w:rPr>
        <w:t>Редослед и време сервирања оброка, који се планирају у зависности од дужине времена боравка ученика у школи</w:t>
      </w:r>
      <w:r>
        <w:rPr>
          <w:color w:val="000000"/>
        </w:rPr>
        <w:t>, односно од времена доласка и одласка ученика у школу, у складу са организацијом наставе представља дневни ритам исхране.</w:t>
      </w:r>
    </w:p>
    <w:p w:rsidR="00521B36" w:rsidRDefault="0018534F">
      <w:pPr>
        <w:spacing w:after="150"/>
      </w:pPr>
      <w:r>
        <w:rPr>
          <w:color w:val="000000"/>
        </w:rPr>
        <w:lastRenderedPageBreak/>
        <w:t>Појединачни оброци сервирају се у одређеним временским интервалима, у складу са физиолошким потребама ученика.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9.</w:t>
      </w:r>
    </w:p>
    <w:p w:rsidR="00521B36" w:rsidRDefault="0018534F">
      <w:pPr>
        <w:spacing w:after="150"/>
      </w:pPr>
      <w:r>
        <w:rPr>
          <w:color w:val="000000"/>
        </w:rPr>
        <w:t>Састављање јел</w:t>
      </w:r>
      <w:r>
        <w:rPr>
          <w:color w:val="000000"/>
        </w:rPr>
        <w:t>овника независно од начина организације прописане чланом 3. овог правилника може да обавља дијететичар нутрициониста, односно запослени на пословима припремања оброка, осим за ученике са посебним нутритивним потребама.</w:t>
      </w:r>
    </w:p>
    <w:p w:rsidR="00521B36" w:rsidRDefault="0018534F">
      <w:pPr>
        <w:spacing w:after="150"/>
      </w:pPr>
      <w:r>
        <w:rPr>
          <w:color w:val="000000"/>
        </w:rPr>
        <w:t xml:space="preserve">Набавка свих производа и услуга који </w:t>
      </w:r>
      <w:r>
        <w:rPr>
          <w:color w:val="000000"/>
        </w:rPr>
        <w:t>се односе на исхрану ученика мора бити спроведена у складу са законом који уређује област јавних набавки.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10.</w:t>
      </w:r>
    </w:p>
    <w:p w:rsidR="00521B36" w:rsidRDefault="0018534F">
      <w:pPr>
        <w:spacing w:after="150"/>
      </w:pPr>
      <w:r>
        <w:rPr>
          <w:color w:val="000000"/>
        </w:rPr>
        <w:t>Контрола организације и остваривања исхране ученика у школи спроводи се као спољна и унутрашња контрола.</w:t>
      </w:r>
    </w:p>
    <w:p w:rsidR="00521B36" w:rsidRDefault="0018534F">
      <w:pPr>
        <w:spacing w:after="150"/>
      </w:pPr>
      <w:r>
        <w:rPr>
          <w:color w:val="000000"/>
        </w:rPr>
        <w:t>Спољна контрола обавља се као део уг</w:t>
      </w:r>
      <w:r>
        <w:rPr>
          <w:color w:val="000000"/>
        </w:rPr>
        <w:t>оворних активности у оквиру пословно-техничке сарадње надлежног завода, односно, института за јавно здравље и школе, и обухвата:</w:t>
      </w:r>
    </w:p>
    <w:p w:rsidR="00521B36" w:rsidRDefault="0018534F">
      <w:pPr>
        <w:spacing w:after="150"/>
      </w:pPr>
      <w:r>
        <w:rPr>
          <w:color w:val="000000"/>
        </w:rPr>
        <w:t>1) контролу квалитета оброка, односно хемијско-броматолошку анализу узорака целодневних оброка (доручак, ужина, ручак) узетих м</w:t>
      </w:r>
      <w:r>
        <w:rPr>
          <w:color w:val="000000"/>
        </w:rPr>
        <w:t>етодом случајног узорка и лабораторијског утврђивања њихове енергетске и нутритивне вредности (садржаја беланчевина, угљених хидрата, масти, соли...);</w:t>
      </w:r>
    </w:p>
    <w:p w:rsidR="00521B36" w:rsidRDefault="0018534F">
      <w:pPr>
        <w:spacing w:after="150"/>
      </w:pPr>
      <w:r>
        <w:rPr>
          <w:color w:val="000000"/>
        </w:rPr>
        <w:t xml:space="preserve">2) контролу санитарно-хигијенских услова припреме и дистрибуције хране у складу са НАССР стандардима или </w:t>
      </w:r>
      <w:r>
        <w:rPr>
          <w:color w:val="000000"/>
        </w:rPr>
        <w:t>у складу са принципима добре хигијенске и произвођачке праксе, на основу процене ризика, а подразумева: анализу микробиолошке исправности брисева узетих са радних површина, прибора, руку и носева запослених у кухињама; контролу микробиолошке исправности на</w:t>
      </w:r>
      <w:r>
        <w:rPr>
          <w:color w:val="000000"/>
        </w:rPr>
        <w:t>мирница и готових оброка.</w:t>
      </w:r>
    </w:p>
    <w:p w:rsidR="00521B36" w:rsidRDefault="0018534F">
      <w:pPr>
        <w:spacing w:after="150"/>
      </w:pPr>
      <w:r>
        <w:rPr>
          <w:color w:val="000000"/>
        </w:rPr>
        <w:t>Извештај о резултатима спољне контроле израђује се на основу података о исхрани ученика из евиденционих листи потрошње намирница, резултата лабораторијских анализа оброка и резултата контроле санитарно-хигијенских услова.</w:t>
      </w:r>
    </w:p>
    <w:p w:rsidR="00521B36" w:rsidRDefault="0018534F">
      <w:pPr>
        <w:spacing w:after="150"/>
      </w:pPr>
      <w:r>
        <w:rPr>
          <w:color w:val="000000"/>
        </w:rPr>
        <w:t>Унутрашњ</w:t>
      </w:r>
      <w:r>
        <w:rPr>
          <w:color w:val="000000"/>
        </w:rPr>
        <w:t>а контрола обухвата: контролу намирница при пријему, контролу документације – атеста о здравственој безбедности и декларација достављених намирница и контролу припреме и дистрибуције хране.</w:t>
      </w:r>
    </w:p>
    <w:p w:rsidR="00521B36" w:rsidRDefault="0018534F">
      <w:pPr>
        <w:spacing w:after="150"/>
      </w:pPr>
      <w:r>
        <w:rPr>
          <w:color w:val="000000"/>
        </w:rPr>
        <w:t xml:space="preserve">Унутрашњу контролу обављају запослени у школи задужени за пријем, </w:t>
      </w:r>
      <w:r>
        <w:rPr>
          <w:color w:val="000000"/>
        </w:rPr>
        <w:t>припремање и сервирање оброка.</w:t>
      </w:r>
    </w:p>
    <w:p w:rsidR="00521B36" w:rsidRDefault="0018534F">
      <w:pPr>
        <w:spacing w:after="120"/>
        <w:jc w:val="center"/>
      </w:pPr>
      <w:r>
        <w:rPr>
          <w:color w:val="000000"/>
        </w:rPr>
        <w:t>Члан 11.</w:t>
      </w:r>
    </w:p>
    <w:p w:rsidR="00521B36" w:rsidRDefault="0018534F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521B36" w:rsidRDefault="0018534F">
      <w:pPr>
        <w:spacing w:after="150"/>
        <w:jc w:val="right"/>
      </w:pPr>
      <w:r>
        <w:rPr>
          <w:color w:val="000000"/>
        </w:rPr>
        <w:lastRenderedPageBreak/>
        <w:t>Министар просвете,</w:t>
      </w:r>
    </w:p>
    <w:p w:rsidR="00521B36" w:rsidRDefault="0018534F">
      <w:pPr>
        <w:spacing w:after="150"/>
        <w:jc w:val="right"/>
      </w:pPr>
      <w:r>
        <w:rPr>
          <w:color w:val="000000"/>
        </w:rPr>
        <w:t>науке и технолошког развоја,</w:t>
      </w:r>
    </w:p>
    <w:p w:rsidR="00521B36" w:rsidRDefault="0018534F">
      <w:pPr>
        <w:spacing w:after="150"/>
        <w:jc w:val="right"/>
      </w:pPr>
      <w:r>
        <w:rPr>
          <w:b/>
          <w:color w:val="000000"/>
        </w:rPr>
        <w:t>Младен Шарчевић,</w:t>
      </w:r>
      <w:r>
        <w:rPr>
          <w:color w:val="000000"/>
        </w:rPr>
        <w:t xml:space="preserve"> с.р.</w:t>
      </w:r>
    </w:p>
    <w:p w:rsidR="00521B36" w:rsidRDefault="0018534F">
      <w:pPr>
        <w:spacing w:after="150"/>
        <w:jc w:val="right"/>
      </w:pPr>
      <w:r>
        <w:rPr>
          <w:color w:val="000000"/>
        </w:rPr>
        <w:t>Министар здравља,</w:t>
      </w:r>
    </w:p>
    <w:p w:rsidR="00521B36" w:rsidRDefault="0018534F">
      <w:pPr>
        <w:spacing w:after="150"/>
        <w:jc w:val="right"/>
      </w:pPr>
      <w:r>
        <w:rPr>
          <w:color w:val="000000"/>
        </w:rPr>
        <w:t xml:space="preserve">асс. др </w:t>
      </w:r>
      <w:r>
        <w:rPr>
          <w:b/>
          <w:color w:val="000000"/>
        </w:rPr>
        <w:t>Златибор Лончар,</w:t>
      </w:r>
      <w:r>
        <w:rPr>
          <w:color w:val="000000"/>
        </w:rPr>
        <w:t xml:space="preserve"> с.р.</w:t>
      </w:r>
    </w:p>
    <w:p w:rsidR="00521B36" w:rsidRDefault="0018534F">
      <w:pPr>
        <w:spacing w:after="120"/>
        <w:jc w:val="right"/>
      </w:pPr>
      <w:r>
        <w:rPr>
          <w:color w:val="000000"/>
        </w:rPr>
        <w:t>Прилози</w:t>
      </w:r>
    </w:p>
    <w:p w:rsidR="00521B36" w:rsidRDefault="0018534F">
      <w:pPr>
        <w:spacing w:after="120"/>
        <w:jc w:val="center"/>
      </w:pPr>
      <w:r>
        <w:rPr>
          <w:b/>
          <w:color w:val="000000"/>
        </w:rPr>
        <w:t>НОРМАТИВ ИСХРАНЕ УЧЕНИКА У ОСНОВНОЈ ШКОЛИ (ПРИЛОГ)</w:t>
      </w:r>
    </w:p>
    <w:p w:rsidR="00521B36" w:rsidRDefault="0018534F">
      <w:pPr>
        <w:spacing w:after="150"/>
      </w:pPr>
      <w:r>
        <w:rPr>
          <w:b/>
          <w:color w:val="000000"/>
        </w:rPr>
        <w:t>Табела 1.</w:t>
      </w:r>
      <w:r>
        <w:rPr>
          <w:color w:val="000000"/>
        </w:rPr>
        <w:t xml:space="preserve"> Препоручени дневни унос енергије и макронутријената према полу и узрасту ученика</w:t>
      </w:r>
    </w:p>
    <w:p w:rsidR="00521B36" w:rsidRDefault="0018534F">
      <w:pPr>
        <w:spacing w:after="150"/>
      </w:pPr>
      <w:r>
        <w:rPr>
          <w:b/>
          <w:color w:val="000000"/>
        </w:rPr>
        <w:t>Табела 2.</w:t>
      </w:r>
      <w:r>
        <w:rPr>
          <w:color w:val="000000"/>
        </w:rPr>
        <w:t xml:space="preserve"> Препоручени унос микронутријената према узрасту ученика</w:t>
      </w:r>
    </w:p>
    <w:p w:rsidR="00521B36" w:rsidRDefault="0018534F">
      <w:pPr>
        <w:spacing w:after="150"/>
      </w:pPr>
      <w:r>
        <w:rPr>
          <w:b/>
          <w:color w:val="000000"/>
        </w:rPr>
        <w:t>Табела 3.</w:t>
      </w:r>
      <w:r>
        <w:rPr>
          <w:color w:val="000000"/>
        </w:rPr>
        <w:t xml:space="preserve"> Препоручена заступљеност</w:t>
      </w:r>
      <w:r>
        <w:rPr>
          <w:color w:val="000000"/>
        </w:rPr>
        <w:t xml:space="preserve"> појединих група намирница у планирању дневних и недељних јеловника за ученике</w:t>
      </w:r>
    </w:p>
    <w:p w:rsidR="00521B36" w:rsidRDefault="0018534F">
      <w:pPr>
        <w:spacing w:after="150"/>
      </w:pPr>
      <w:r>
        <w:rPr>
          <w:b/>
          <w:color w:val="000000"/>
        </w:rPr>
        <w:t>Табела 4.</w:t>
      </w:r>
      <w:r>
        <w:rPr>
          <w:color w:val="000000"/>
        </w:rPr>
        <w:t xml:space="preserve"> Препоручене врсте намирница у планирању исхране ученика</w:t>
      </w:r>
    </w:p>
    <w:p w:rsidR="00521B36" w:rsidRDefault="0018534F">
      <w:pPr>
        <w:spacing w:after="150"/>
      </w:pPr>
      <w:r>
        <w:rPr>
          <w:b/>
          <w:color w:val="000000"/>
        </w:rPr>
        <w:t>Табела 5.</w:t>
      </w:r>
      <w:r>
        <w:rPr>
          <w:color w:val="000000"/>
        </w:rPr>
        <w:t xml:space="preserve"> Врсте намирница које се не препоручују</w:t>
      </w:r>
    </w:p>
    <w:p w:rsidR="00521B36" w:rsidRDefault="0018534F">
      <w:pPr>
        <w:spacing w:after="150"/>
      </w:pPr>
      <w:r>
        <w:rPr>
          <w:b/>
          <w:color w:val="000000"/>
        </w:rPr>
        <w:t>Табела 6.</w:t>
      </w:r>
      <w:r>
        <w:rPr>
          <w:color w:val="000000"/>
        </w:rPr>
        <w:t xml:space="preserve"> Препоручене врсте намирница по оброцима</w:t>
      </w:r>
    </w:p>
    <w:p w:rsidR="00521B36" w:rsidRDefault="0018534F">
      <w:pPr>
        <w:spacing w:after="150"/>
      </w:pPr>
      <w:r>
        <w:rPr>
          <w:b/>
          <w:color w:val="000000"/>
        </w:rPr>
        <w:t>Табела 1.</w:t>
      </w:r>
      <w:r>
        <w:rPr>
          <w:color w:val="000000"/>
        </w:rPr>
        <w:t xml:space="preserve"> Пр</w:t>
      </w:r>
      <w:r>
        <w:rPr>
          <w:color w:val="000000"/>
        </w:rPr>
        <w:t>епоручени дневни унос енергије и макронутријената према полу и узрасту ученика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2"/>
        <w:gridCol w:w="1098"/>
        <w:gridCol w:w="1029"/>
        <w:gridCol w:w="851"/>
        <w:gridCol w:w="939"/>
        <w:gridCol w:w="1101"/>
        <w:gridCol w:w="773"/>
        <w:gridCol w:w="771"/>
        <w:gridCol w:w="773"/>
        <w:gridCol w:w="771"/>
      </w:tblGrid>
      <w:tr w:rsidR="00521B36">
        <w:trPr>
          <w:trHeight w:val="45"/>
          <w:tblCellSpacing w:w="0" w:type="auto"/>
        </w:trPr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Узраст ученика</w:t>
            </w:r>
            <w:r>
              <w:br/>
            </w:r>
            <w:r>
              <w:rPr>
                <w:color w:val="000000"/>
              </w:rPr>
              <w:t>(год)</w:t>
            </w: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Пол</w:t>
            </w:r>
          </w:p>
          <w:p w:rsidR="00521B36" w:rsidRDefault="0018534F">
            <w:pPr>
              <w:spacing w:after="150"/>
            </w:pPr>
            <w:r>
              <w:rPr>
                <w:color w:val="000000"/>
              </w:rPr>
              <w:t>ученика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b/>
                <w:color w:val="000000"/>
              </w:rPr>
              <w:t>Енергија (Е)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b/>
                <w:color w:val="000000"/>
              </w:rPr>
              <w:t>Угљенихидрати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b/>
                <w:color w:val="000000"/>
              </w:rPr>
              <w:t>Масти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b/>
                <w:color w:val="000000"/>
              </w:rPr>
              <w:t>Протеини</w:t>
            </w:r>
            <w:r>
              <w:rPr>
                <w:color w:val="000000"/>
                <w:vertAlign w:val="superscript"/>
              </w:rPr>
              <w:t>4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kcal/дан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kJ/дан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% Е/дан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g/дан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% Е/дан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g/дан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% Е/дан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g/дан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7–9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1970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8242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&gt;50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&gt;246,3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до 30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65,7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10–15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49,3–73,9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Ж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1740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7280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&gt;50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&gt;217,5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58,0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43,5–65,3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10–13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2220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9288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&gt;50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&gt;277,5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74,0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55,5–83,3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Ж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1845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7719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&gt;50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&gt;230,6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521B36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61,5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521B36"/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46,1–69,2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lastRenderedPageBreak/>
              <w:t>14–18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2755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11527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&gt;50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&gt;344,4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91,8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68,9–103,3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Ж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2110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8828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&gt;50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&gt;263,8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70,3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52,8–79,1</w:t>
            </w:r>
          </w:p>
        </w:tc>
      </w:tr>
    </w:tbl>
    <w:p w:rsidR="00521B36" w:rsidRDefault="0018534F">
      <w:pPr>
        <w:spacing w:after="150"/>
      </w:pPr>
      <w:r>
        <w:rPr>
          <w:i/>
          <w:color w:val="000000"/>
        </w:rPr>
        <w:t>Прилагођено према WHO (2006). Food and nutrition policy for schools. A tool for the development of school nutrition programmes in the European Region. Copenhagen, World He</w:t>
      </w:r>
      <w:r>
        <w:rPr>
          <w:i/>
          <w:color w:val="000000"/>
        </w:rPr>
        <w:t>alth Organization Regional Office for Europe</w:t>
      </w:r>
    </w:p>
    <w:p w:rsidR="00521B36" w:rsidRDefault="0018534F">
      <w:pPr>
        <w:spacing w:after="150"/>
      </w:pPr>
      <w:r>
        <w:rPr>
          <w:i/>
          <w:color w:val="000000"/>
        </w:rPr>
        <w:t>1 М дечаци</w:t>
      </w:r>
    </w:p>
    <w:p w:rsidR="00521B36" w:rsidRDefault="0018534F">
      <w:pPr>
        <w:spacing w:after="150"/>
      </w:pPr>
      <w:r>
        <w:rPr>
          <w:i/>
          <w:color w:val="000000"/>
        </w:rPr>
        <w:t>Ж девојчице</w:t>
      </w:r>
    </w:p>
    <w:p w:rsidR="00521B36" w:rsidRDefault="0018534F">
      <w:pPr>
        <w:spacing w:after="150"/>
      </w:pPr>
      <w:r>
        <w:rPr>
          <w:i/>
          <w:color w:val="000000"/>
        </w:rPr>
        <w:t>2 Од тога прости шећери &lt;10% Е/дан, влакна &gt;10g/1000kcal</w:t>
      </w:r>
    </w:p>
    <w:p w:rsidR="00521B36" w:rsidRDefault="0018534F">
      <w:pPr>
        <w:spacing w:after="150"/>
      </w:pPr>
      <w:r>
        <w:rPr>
          <w:i/>
          <w:color w:val="000000"/>
        </w:rPr>
        <w:t>3 Од тога засићене масти &lt;10% Е/дан, транс масти &lt;1% Е/дан</w:t>
      </w:r>
    </w:p>
    <w:p w:rsidR="00521B36" w:rsidRDefault="0018534F">
      <w:pPr>
        <w:spacing w:after="150"/>
      </w:pPr>
      <w:r>
        <w:rPr>
          <w:i/>
          <w:color w:val="000000"/>
        </w:rPr>
        <w:t xml:space="preserve">4 Од укупне дневне количине протеина најмање 50% морају чинити високо </w:t>
      </w:r>
      <w:r>
        <w:rPr>
          <w:i/>
          <w:color w:val="000000"/>
        </w:rPr>
        <w:t>биолошко вредни протеини. Удео протеина у дневном енергетском уносу може износити највише 20%.</w:t>
      </w:r>
    </w:p>
    <w:p w:rsidR="00521B36" w:rsidRDefault="0018534F">
      <w:pPr>
        <w:spacing w:after="150"/>
      </w:pPr>
      <w:r>
        <w:rPr>
          <w:b/>
          <w:i/>
          <w:color w:val="000000"/>
        </w:rPr>
        <w:t>Напомена</w:t>
      </w:r>
    </w:p>
    <w:p w:rsidR="00521B36" w:rsidRDefault="0018534F">
      <w:pPr>
        <w:spacing w:after="150"/>
      </w:pPr>
      <w:r>
        <w:rPr>
          <w:i/>
          <w:color w:val="000000"/>
        </w:rPr>
        <w:t>* Препоручени дневни унос енергије и макронутријената се односи на нормално ухрањене ученике оба пола који су умерено физички активни.</w:t>
      </w:r>
    </w:p>
    <w:p w:rsidR="00521B36" w:rsidRDefault="0018534F">
      <w:pPr>
        <w:spacing w:after="150"/>
      </w:pPr>
      <w:r>
        <w:rPr>
          <w:b/>
          <w:color w:val="000000"/>
        </w:rPr>
        <w:t>Табела 2.</w:t>
      </w:r>
      <w:r>
        <w:rPr>
          <w:color w:val="000000"/>
        </w:rPr>
        <w:t xml:space="preserve"> Препору</w:t>
      </w:r>
      <w:r>
        <w:rPr>
          <w:color w:val="000000"/>
        </w:rPr>
        <w:t>чени дневни унос микронутријената према узрасту ученика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60"/>
        <w:gridCol w:w="1830"/>
        <w:gridCol w:w="1830"/>
        <w:gridCol w:w="2308"/>
      </w:tblGrid>
      <w:tr w:rsidR="00521B36">
        <w:trPr>
          <w:trHeight w:val="45"/>
          <w:tblCellSpacing w:w="0" w:type="auto"/>
        </w:trPr>
        <w:tc>
          <w:tcPr>
            <w:tcW w:w="4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 </w:t>
            </w:r>
          </w:p>
          <w:p w:rsidR="00521B36" w:rsidRDefault="0018534F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b/>
                <w:color w:val="000000"/>
              </w:rPr>
              <w:t>Узраст ученика (год)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B36" w:rsidRDefault="00521B36"/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b/>
                <w:color w:val="000000"/>
              </w:rPr>
              <w:t>7–9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b/>
                <w:color w:val="000000"/>
              </w:rPr>
              <w:t>11–13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b/>
                <w:color w:val="000000"/>
              </w:rPr>
              <w:t>14–18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Витамин А (ретинол), ß-каротен (mg еквивалента)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0,8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0,9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1,03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Витамин Д (калциферол) (μg)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Витамин Е (токофероли) (mg еквивалента)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9,5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12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13,25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Витамин К (μg)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57,5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Витамин Б1 (тиамин)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1,1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1,2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 xml:space="preserve">Витамин Б2 </w:t>
            </w:r>
            <w:r>
              <w:rPr>
                <w:color w:val="000000"/>
              </w:rPr>
              <w:lastRenderedPageBreak/>
              <w:t>(рибофлавин)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lastRenderedPageBreak/>
              <w:t>1,1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1,3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1,4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lastRenderedPageBreak/>
              <w:t>Ниацин (mg еквивалента)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12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14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15,75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Витамин Б6 (пиридоксин)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0,7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1,4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Фолна киселина (μg еквивалента)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300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400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400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Пантотенска киселина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6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Биотин (μg)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15–20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20–30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27,5–47,5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Витамин Б12 (кобаламини) (μg 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1,8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Витамин Ц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80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90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100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Натријум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1380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1380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1600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Хлориди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690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770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830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Калијум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3800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4500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4700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Калциумј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900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1100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1200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Фосфор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800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1250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1250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Магнезијум</w:t>
            </w:r>
            <w:r>
              <w:rPr>
                <w:color w:val="000000"/>
              </w:rPr>
              <w:t xml:space="preserve">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170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240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342,5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Гвожђе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13,5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13,5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Јод (μg 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130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150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175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Флуор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1,1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3,05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Цинк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7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8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8,38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Селен (μg 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20–50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25–60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27,5–65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Бакар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1,0–1,5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1,0–1,5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1,0–1,5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Манган (mg)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2,0–3,0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2,0–5,0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2,0–5,0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Хром (μg)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20–100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20–100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30–100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Молибден (μg)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40–80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50–100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50–100</w:t>
            </w:r>
          </w:p>
        </w:tc>
      </w:tr>
    </w:tbl>
    <w:p w:rsidR="00521B36" w:rsidRDefault="0018534F">
      <w:pPr>
        <w:spacing w:after="150"/>
      </w:pPr>
      <w:r>
        <w:rPr>
          <w:i/>
          <w:color w:val="000000"/>
        </w:rPr>
        <w:t>Прилагођено према WHO (2006). Food and nutrition policy for schools. A tool for the development of school nutrition programmes in the European Region. Copenhagen, World Health Organization Regional Office for Europe</w:t>
      </w:r>
    </w:p>
    <w:p w:rsidR="00521B36" w:rsidRDefault="0018534F">
      <w:pPr>
        <w:spacing w:after="150"/>
      </w:pPr>
      <w:r>
        <w:rPr>
          <w:b/>
          <w:i/>
          <w:color w:val="000000"/>
        </w:rPr>
        <w:t>Напомена</w:t>
      </w:r>
    </w:p>
    <w:p w:rsidR="00521B36" w:rsidRDefault="0018534F">
      <w:pPr>
        <w:spacing w:after="150"/>
      </w:pPr>
      <w:r>
        <w:rPr>
          <w:i/>
          <w:color w:val="000000"/>
        </w:rPr>
        <w:lastRenderedPageBreak/>
        <w:t>* Препоручени дневни унос микронутријената се односи на нормално ухрањене ученике оба пола који су умерено физички активни.</w:t>
      </w:r>
    </w:p>
    <w:p w:rsidR="00521B36" w:rsidRDefault="0018534F">
      <w:pPr>
        <w:spacing w:after="150"/>
      </w:pPr>
      <w:r>
        <w:rPr>
          <w:b/>
          <w:color w:val="000000"/>
        </w:rPr>
        <w:t>Табела 3.</w:t>
      </w:r>
      <w:r>
        <w:rPr>
          <w:color w:val="000000"/>
        </w:rPr>
        <w:t xml:space="preserve"> Препоручена заступљеност појединих група намирница у планирању дневних и недељних јеловника за ученике</w:t>
      </w:r>
    </w:p>
    <w:p w:rsidR="00521B36" w:rsidRDefault="00521B36">
      <w:pPr>
        <w:spacing w:after="150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950"/>
        <w:gridCol w:w="6178"/>
      </w:tblGrid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Групе нам</w:t>
            </w:r>
            <w:r>
              <w:rPr>
                <w:color w:val="000000"/>
              </w:rPr>
              <w:t>ирница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Дневна заступљеност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Житарице, производи од житарица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Сваки дан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Поврће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Сваки дан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Воће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Сваки дан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Месо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Сваки дан, до пет пута недељно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Риба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Најмање 1–2 пута недељно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Јаја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До три пута недељно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Махунарке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1–2 недељно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Млеко и млечни производи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Сваки дан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Масти и уља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хладно цеђено уље у малим количинама, као прелив при припреми поврћа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Вода</w:t>
            </w:r>
          </w:p>
        </w:tc>
        <w:tc>
          <w:tcPr>
            <w:tcW w:w="10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Сваки дан, између оброка</w:t>
            </w:r>
          </w:p>
        </w:tc>
      </w:tr>
    </w:tbl>
    <w:p w:rsidR="00521B36" w:rsidRDefault="0018534F">
      <w:pPr>
        <w:spacing w:after="150"/>
      </w:pPr>
      <w:r>
        <w:rPr>
          <w:b/>
          <w:i/>
          <w:color w:val="000000"/>
        </w:rPr>
        <w:t>Напомена</w:t>
      </w:r>
    </w:p>
    <w:p w:rsidR="00521B36" w:rsidRDefault="0018534F">
      <w:pPr>
        <w:spacing w:after="150"/>
      </w:pPr>
      <w:r>
        <w:rPr>
          <w:i/>
          <w:color w:val="000000"/>
        </w:rPr>
        <w:t>*</w:t>
      </w:r>
      <w:r>
        <w:rPr>
          <w:i/>
          <w:color w:val="000000"/>
        </w:rPr>
        <w:tab/>
        <w:t xml:space="preserve">Препоручена заступљеност појединих група намирница односи се на планирање исхране нормално ухрањених ученика оба пола који су умерено физички активни и </w:t>
      </w:r>
      <w:r>
        <w:rPr>
          <w:b/>
          <w:i/>
          <w:color w:val="000000"/>
        </w:rPr>
        <w:t>немају посебне нутритивне потребе</w:t>
      </w:r>
      <w:r>
        <w:rPr>
          <w:i/>
          <w:color w:val="000000"/>
        </w:rPr>
        <w:t>.</w:t>
      </w:r>
    </w:p>
    <w:p w:rsidR="00521B36" w:rsidRDefault="0018534F">
      <w:pPr>
        <w:spacing w:after="150"/>
      </w:pPr>
      <w:r>
        <w:rPr>
          <w:b/>
          <w:color w:val="000000"/>
        </w:rPr>
        <w:t>Табела 4.</w:t>
      </w:r>
      <w:r>
        <w:rPr>
          <w:color w:val="000000"/>
        </w:rPr>
        <w:t xml:space="preserve"> Препоручене врсте намирница у планирању исхране ученика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475"/>
        <w:gridCol w:w="7653"/>
      </w:tblGrid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Групе намирница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Препоручена врста намирница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Житарице, производи од житарица, кромпир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Интегралне житарице (пшеница, пиринач, кукуруз, јечам, овас, раж, просо, хељда) куване у чорбама, као прилог уз месо, рибу, поврће (уместо хлеба) или као посластице (сутл</w:t>
            </w:r>
            <w:r>
              <w:rPr>
                <w:color w:val="000000"/>
              </w:rPr>
              <w:t>ијаш, жито, кох...)</w:t>
            </w:r>
          </w:p>
          <w:p w:rsidR="00521B36" w:rsidRDefault="0018534F">
            <w:pPr>
              <w:spacing w:after="150"/>
            </w:pPr>
            <w:r>
              <w:rPr>
                <w:color w:val="000000"/>
              </w:rPr>
              <w:t>Хлеб, тестенина и други производи од интегралних житарица, житне пахуљице, каше, мусли...</w:t>
            </w:r>
          </w:p>
          <w:p w:rsidR="00521B36" w:rsidRDefault="0018534F">
            <w:pPr>
              <w:spacing w:after="150"/>
            </w:pPr>
            <w:r>
              <w:rPr>
                <w:color w:val="000000"/>
              </w:rPr>
              <w:t>Кромпир – куван, печен у љусци, пире-кромпир. Не препоручује се пржење кромпира у дубоком уљу.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lastRenderedPageBreak/>
              <w:t>Поврће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Све врсте сезонског свежег или смрзнутог по</w:t>
            </w:r>
            <w:r>
              <w:rPr>
                <w:color w:val="000000"/>
              </w:rPr>
              <w:t>врћа, скуваног у води, на пари или под притиском. Воду од кувања искористити за супе, чорбе и варива. Кад год је здравствено безбедно користити га у свежем облику.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Махунарке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Куване, суве, у облику намаза.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Воће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Све врсте сезонског свежег или смрзнутог воћ</w:t>
            </w:r>
            <w:r>
              <w:rPr>
                <w:color w:val="000000"/>
              </w:rPr>
              <w:t>а. Печено или припремљено у облику компота без додатка шећера. Свеже цеђени сокови од воћа. Орашасто воће и семенке. Мармеладе/џемови без вештачких арома и заслађивача. Воћне посластице са минималним количинама шећера. Суво воће у умереним количинама (води</w:t>
            </w:r>
            <w:r>
              <w:rPr>
                <w:color w:val="000000"/>
              </w:rPr>
              <w:t>ти рачуна да количина простих шећера буде у складу са препорукама датим у Табели 1).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Млеко и млечни производи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Све врсте млека и ферментисаних млечних производа са најмање 2,8% м.м. Не препоручују се заслађени и чоколадни млечни напици.</w:t>
            </w:r>
          </w:p>
          <w:p w:rsidR="00521B36" w:rsidRDefault="0018534F">
            <w:pPr>
              <w:spacing w:after="150"/>
            </w:pPr>
            <w:r>
              <w:rPr>
                <w:color w:val="000000"/>
              </w:rPr>
              <w:t xml:space="preserve">Све врсте свежег и </w:t>
            </w:r>
            <w:r>
              <w:rPr>
                <w:color w:val="000000"/>
              </w:rPr>
              <w:t>полутврдог сира.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Месо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I категорија меса без кости – Месо живине (ћуретина, пилетина), телетина и јагњетина, црвено месо: јунетина свињетина- немасна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Риба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 xml:space="preserve">Искључиво филетирана риба без кости. За припрему рибље паштете користити рибе из конзерве (сардине, </w:t>
            </w:r>
            <w:r>
              <w:rPr>
                <w:color w:val="000000"/>
              </w:rPr>
              <w:t>туна и скуша).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Јаја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Термички добро обрађена – тврдо кувана, кајгане, омлет и као саставни део рецептура сложених јела.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Масти и уља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Искључиво биљна уља: сунцокретово, маслиново, од кукурузних клица...</w:t>
            </w:r>
          </w:p>
          <w:p w:rsidR="00521B36" w:rsidRDefault="0018534F">
            <w:pPr>
              <w:spacing w:after="150"/>
            </w:pPr>
            <w:r>
              <w:rPr>
                <w:color w:val="000000"/>
              </w:rPr>
              <w:t>Маслац (бутер) и свињска маст у мањим количинама.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Зачини и додаци храни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Јодирана кухињска со, зачинско биље, семенке.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Напици</w:t>
            </w:r>
          </w:p>
        </w:tc>
        <w:tc>
          <w:tcPr>
            <w:tcW w:w="1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Здравствено исправна вода за пиће, топли или хладни кувани биљни чај, заслађен медом.</w:t>
            </w:r>
          </w:p>
        </w:tc>
      </w:tr>
    </w:tbl>
    <w:p w:rsidR="00521B36" w:rsidRDefault="0018534F">
      <w:pPr>
        <w:spacing w:after="150"/>
      </w:pPr>
      <w:r>
        <w:rPr>
          <w:b/>
          <w:i/>
          <w:color w:val="000000"/>
        </w:rPr>
        <w:t>Напомене:</w:t>
      </w:r>
    </w:p>
    <w:p w:rsidR="00521B36" w:rsidRDefault="0018534F">
      <w:pPr>
        <w:spacing w:after="150"/>
      </w:pPr>
      <w:r>
        <w:rPr>
          <w:b/>
          <w:i/>
          <w:color w:val="000000"/>
        </w:rPr>
        <w:t>*</w:t>
      </w:r>
      <w:r>
        <w:rPr>
          <w:i/>
          <w:color w:val="000000"/>
        </w:rPr>
        <w:t>Препоручена врста намирница и хране за планирање исхране нормално ухрањених ученик</w:t>
      </w:r>
      <w:r>
        <w:rPr>
          <w:i/>
          <w:color w:val="000000"/>
        </w:rPr>
        <w:t xml:space="preserve">а оба пола који су умерено физички активни и </w:t>
      </w:r>
      <w:r>
        <w:rPr>
          <w:b/>
          <w:i/>
          <w:color w:val="000000"/>
        </w:rPr>
        <w:t>немају посебне нутритивне потребе.</w:t>
      </w:r>
    </w:p>
    <w:p w:rsidR="00521B36" w:rsidRDefault="0018534F">
      <w:pPr>
        <w:spacing w:after="150"/>
      </w:pPr>
      <w:r>
        <w:rPr>
          <w:b/>
          <w:i/>
          <w:color w:val="000000"/>
        </w:rPr>
        <w:lastRenderedPageBreak/>
        <w:t>*</w:t>
      </w:r>
      <w:r>
        <w:rPr>
          <w:i/>
          <w:color w:val="000000"/>
        </w:rPr>
        <w:t>Намирнице се могу користити сирове или припремљене кувањем у води/на пари, печењем у рерни (на масној хартији без додатог уља/масти), гриловање. Пржење и поховање нису пожељни</w:t>
      </w:r>
      <w:r>
        <w:rPr>
          <w:i/>
          <w:color w:val="000000"/>
        </w:rPr>
        <w:t xml:space="preserve"> начини припрема намирница.</w:t>
      </w:r>
    </w:p>
    <w:p w:rsidR="00521B36" w:rsidRDefault="0018534F">
      <w:pPr>
        <w:spacing w:after="150"/>
      </w:pPr>
      <w:r>
        <w:rPr>
          <w:b/>
          <w:color w:val="000000"/>
        </w:rPr>
        <w:t>Табела 5.</w:t>
      </w:r>
      <w:r>
        <w:rPr>
          <w:color w:val="000000"/>
        </w:rPr>
        <w:t xml:space="preserve"> Врсте намирница које се не препоручују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203"/>
        <w:gridCol w:w="7925"/>
      </w:tblGrid>
      <w:tr w:rsidR="00521B3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ВРСТЕ НАМИРНИЦА КОЈЕ СЕ НЕ ПРЕПОРУЧУЈУ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Лисната теста (жу жу, погачице, паштете, рол виршле..)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Кромпир и друге врсте поврћа пржене у дубоком уљу.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 xml:space="preserve">„Лајт”млечни </w:t>
            </w:r>
            <w:r>
              <w:rPr>
                <w:color w:val="000000"/>
              </w:rPr>
              <w:t>производи. Маргарин. Сирни намази и топљени сиреви. Ограничити количину намаза са високим садржајем млечне масти (бутера/павлаке/кајмака/сирних намаза).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Месне прерађевине, месни намази (паштете), крем/чоколадни намази и други индустријски слани и слатк</w:t>
            </w:r>
            <w:r>
              <w:rPr>
                <w:color w:val="000000"/>
              </w:rPr>
              <w:t>и производи са високим садржајем шећера, засићених и транс масних киселина, које садрже вештачке боје, ароме и конзервансе.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Плодови мора. Пржена и похована риба.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Мајонез, кремови од термички необрађених јаја, јела која садрже термички необрађена ја</w:t>
            </w:r>
            <w:r>
              <w:rPr>
                <w:color w:val="000000"/>
              </w:rPr>
              <w:t>ја.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Супе из кесице.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Слаткиши – бомбоне, чоколаде, индустријски слаткиши.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Газирани и негазирани напици, енергетска пића, дијететски производи.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10.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Јаки зачини, љута паприка, бибер и сл.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11.</w:t>
            </w:r>
          </w:p>
        </w:tc>
        <w:tc>
          <w:tcPr>
            <w:tcW w:w="1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 xml:space="preserve">Готова јела и индустријски зачини са високим </w:t>
            </w:r>
            <w:r>
              <w:rPr>
                <w:color w:val="000000"/>
              </w:rPr>
              <w:t>садржајем соли/адитива.</w:t>
            </w:r>
          </w:p>
        </w:tc>
      </w:tr>
    </w:tbl>
    <w:p w:rsidR="00521B36" w:rsidRDefault="0018534F">
      <w:pPr>
        <w:spacing w:after="150"/>
      </w:pPr>
      <w:r>
        <w:rPr>
          <w:b/>
          <w:color w:val="000000"/>
        </w:rPr>
        <w:t>Табела 6.</w:t>
      </w:r>
      <w:r>
        <w:rPr>
          <w:color w:val="000000"/>
        </w:rPr>
        <w:t xml:space="preserve"> Препоручене врсте намирница по оброцима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177"/>
        <w:gridCol w:w="2318"/>
        <w:gridCol w:w="5633"/>
      </w:tblGrid>
      <w:tr w:rsidR="00521B36">
        <w:trPr>
          <w:trHeight w:val="45"/>
          <w:tblCellSpacing w:w="0" w:type="auto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Врста оброка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Проценат дневних енергетских потреба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Препоручене врсте намирница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Доручак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30–35%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 xml:space="preserve">Житарице и производи од житарица (нпр. интегрални хлеб, житне пахуљице без додатог </w:t>
            </w:r>
            <w:r>
              <w:rPr>
                <w:color w:val="000000"/>
              </w:rPr>
              <w:t>шећера, качамак..), млеко и млечни производи, јаја, свеже припремљени намази од махунарки, рибе или поврћа, воће и производи од воћа, мед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lastRenderedPageBreak/>
              <w:t>Ужина I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10%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Воће, цеђени воћни сок без додатог шећера, воћни колач са минималном количином шећера, сутлијаш, жито, ко</w:t>
            </w:r>
            <w:r>
              <w:rPr>
                <w:color w:val="000000"/>
              </w:rPr>
              <w:t>х...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Ручак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30%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Барено и свеже поврће, житарице, месо, риба.</w:t>
            </w:r>
          </w:p>
        </w:tc>
      </w:tr>
      <w:tr w:rsidR="00521B36">
        <w:trPr>
          <w:trHeight w:val="45"/>
          <w:tblCellSpacing w:w="0" w:type="auto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Ужина II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5–10%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B36" w:rsidRDefault="0018534F">
            <w:pPr>
              <w:spacing w:after="150"/>
            </w:pPr>
            <w:r>
              <w:rPr>
                <w:color w:val="000000"/>
              </w:rPr>
              <w:t>Воће, цеђени воћни сок без додатка шећера.</w:t>
            </w:r>
          </w:p>
        </w:tc>
      </w:tr>
    </w:tbl>
    <w:p w:rsidR="0018534F" w:rsidRDefault="0018534F"/>
    <w:sectPr w:rsidR="0018534F" w:rsidSect="00521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4F" w:rsidRDefault="0018534F" w:rsidP="005C370D">
      <w:pPr>
        <w:spacing w:after="0" w:line="240" w:lineRule="auto"/>
      </w:pPr>
      <w:r>
        <w:separator/>
      </w:r>
    </w:p>
  </w:endnote>
  <w:endnote w:type="continuationSeparator" w:id="1">
    <w:p w:rsidR="0018534F" w:rsidRDefault="0018534F" w:rsidP="005C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0D" w:rsidRDefault="005C37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800842"/>
      <w:docPartObj>
        <w:docPartGallery w:val="Page Numbers (Bottom of Page)"/>
        <w:docPartUnique/>
      </w:docPartObj>
    </w:sdtPr>
    <w:sdtContent>
      <w:p w:rsidR="005C370D" w:rsidRDefault="005C370D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C370D" w:rsidRDefault="005C37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0D" w:rsidRDefault="005C3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4F" w:rsidRDefault="0018534F" w:rsidP="005C370D">
      <w:pPr>
        <w:spacing w:after="0" w:line="240" w:lineRule="auto"/>
      </w:pPr>
      <w:r>
        <w:separator/>
      </w:r>
    </w:p>
  </w:footnote>
  <w:footnote w:type="continuationSeparator" w:id="1">
    <w:p w:rsidR="0018534F" w:rsidRDefault="0018534F" w:rsidP="005C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0D" w:rsidRDefault="005C37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0D" w:rsidRDefault="005C37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0D" w:rsidRDefault="005C37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B36"/>
    <w:rsid w:val="0018534F"/>
    <w:rsid w:val="00521B36"/>
    <w:rsid w:val="005C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521B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1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521B36"/>
  </w:style>
  <w:style w:type="paragraph" w:styleId="Footer">
    <w:name w:val="footer"/>
    <w:basedOn w:val="Normal"/>
    <w:link w:val="FooterChar"/>
    <w:uiPriority w:val="99"/>
    <w:unhideWhenUsed/>
    <w:rsid w:val="005C37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0D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2024-02-22T10:07:00Z</dcterms:created>
  <dcterms:modified xsi:type="dcterms:W3CDTF">2024-02-22T10:07:00Z</dcterms:modified>
</cp:coreProperties>
</file>